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647AD12">
      <w:pPr>
        <w:pStyle w:val="5"/>
        <w:pageBreakBefore w:val="0"/>
        <w:wordWrap/>
        <w:overflowPunct/>
        <w:bidi w:val="0"/>
        <w:spacing w:line="240" w:lineRule="auto"/>
        <w:ind w:left="105" w:leftChars="50" w:right="105" w:rightChars="50"/>
        <w:outlineLvl w:val="1"/>
        <w:rPr>
          <w:rFonts w:hint="eastAsia"/>
        </w:rPr>
      </w:pPr>
      <w:bookmarkStart w:id="1" w:name="_GoBack"/>
      <w:bookmarkEnd w:id="1"/>
      <w:bookmarkStart w:id="0" w:name="_Toc7917"/>
      <w:r>
        <w:rPr>
          <w:rFonts w:hint="eastAsia" w:ascii="宋体" w:hAnsi="宋体" w:eastAsia="方正小标宋_GBK" w:cs="Times New Roman"/>
          <w:b w:val="0"/>
          <w:bCs/>
          <w:color w:val="auto"/>
          <w:kern w:val="2"/>
          <w:sz w:val="30"/>
          <w:szCs w:val="32"/>
          <w:lang w:val="en-US" w:eastAsia="zh-CN" w:bidi="ar-SA"/>
        </w:rPr>
        <w:t>四川省省属高校毕业生到艰苦边远地区基层单位就业学费奖补暂行办法（节选）</w:t>
      </w:r>
      <w:bookmarkEnd w:id="0"/>
    </w:p>
    <w:p w14:paraId="0BCF1100">
      <w:pPr>
        <w:pStyle w:val="6"/>
        <w:pageBreakBefore w:val="0"/>
        <w:wordWrap/>
        <w:overflowPunct/>
        <w:bidi w:val="0"/>
        <w:spacing w:line="240" w:lineRule="auto"/>
        <w:rPr>
          <w:rFonts w:hint="eastAsia" w:ascii="宋体" w:hAnsi="宋体" w:eastAsia="宋体" w:cs="宋体"/>
          <w:sz w:val="20"/>
          <w:szCs w:val="18"/>
          <w:lang w:val="en-US" w:eastAsia="zh-CN"/>
        </w:rPr>
      </w:pPr>
      <w:r>
        <w:rPr>
          <w:rFonts w:hint="eastAsia" w:ascii="宋体" w:hAnsi="宋体" w:eastAsia="宋体" w:cs="宋体"/>
          <w:sz w:val="20"/>
          <w:szCs w:val="18"/>
          <w:lang w:val="en-US" w:eastAsia="zh-CN"/>
        </w:rPr>
        <w:t>第一条  为促进我省高校毕业生就业，引导和鼓励高校毕业生到艰苦边远地区基层单位服务，根据《国务院办公厅关于加强普通高等学校毕业生就业工作的通知》（国办发〔2009〕3号）和财政部、教育部印发的《高等学校毕业生学费和国家助学贷款代偿暂行办法》（财教〔2009〕15号）精神，结合四川实际，制定本办法。</w:t>
      </w:r>
    </w:p>
    <w:p w14:paraId="0DAE2D56">
      <w:pPr>
        <w:pStyle w:val="6"/>
        <w:pageBreakBefore w:val="0"/>
        <w:wordWrap/>
        <w:overflowPunct/>
        <w:bidi w:val="0"/>
        <w:spacing w:line="240" w:lineRule="auto"/>
        <w:rPr>
          <w:rFonts w:hint="eastAsia" w:ascii="宋体" w:hAnsi="宋体" w:eastAsia="宋体" w:cs="宋体"/>
          <w:sz w:val="20"/>
          <w:szCs w:val="18"/>
          <w:lang w:val="en-US" w:eastAsia="zh-CN"/>
        </w:rPr>
      </w:pPr>
      <w:r>
        <w:rPr>
          <w:rFonts w:hint="eastAsia" w:ascii="宋体" w:hAnsi="宋体" w:eastAsia="宋体" w:cs="宋体"/>
          <w:sz w:val="20"/>
          <w:szCs w:val="18"/>
          <w:lang w:val="en-US" w:eastAsia="zh-CN"/>
        </w:rPr>
        <w:t>第二条  省属高校毕业生到艰苦边远地区基层单位就业，连续服务满三年及以上的，省政府对其学费按一定标准给予奖补。学费奖补所需资金由省财政安排。</w:t>
      </w:r>
    </w:p>
    <w:p w14:paraId="4E29F8CE">
      <w:pPr>
        <w:pStyle w:val="6"/>
        <w:pageBreakBefore w:val="0"/>
        <w:wordWrap/>
        <w:overflowPunct/>
        <w:bidi w:val="0"/>
        <w:spacing w:line="240" w:lineRule="auto"/>
        <w:rPr>
          <w:rFonts w:hint="eastAsia" w:ascii="宋体" w:hAnsi="宋体" w:eastAsia="宋体" w:cs="宋体"/>
          <w:sz w:val="20"/>
          <w:szCs w:val="18"/>
          <w:lang w:val="en-US" w:eastAsia="zh-CN"/>
        </w:rPr>
      </w:pPr>
      <w:r>
        <w:rPr>
          <w:rFonts w:hint="eastAsia" w:ascii="宋体" w:hAnsi="宋体" w:eastAsia="宋体" w:cs="宋体"/>
          <w:sz w:val="20"/>
          <w:szCs w:val="18"/>
          <w:lang w:val="en-US" w:eastAsia="zh-CN"/>
        </w:rPr>
        <w:t>第三条  本办法所称省属高校是指四川省省级部门所属的普通高等学校（含高职、民办高校、独立学院以及招收普通本专科学生的成人高校）。</w:t>
      </w:r>
    </w:p>
    <w:p w14:paraId="0E77DA14">
      <w:pPr>
        <w:pStyle w:val="6"/>
        <w:pageBreakBefore w:val="0"/>
        <w:wordWrap/>
        <w:overflowPunct/>
        <w:bidi w:val="0"/>
        <w:spacing w:line="240" w:lineRule="auto"/>
        <w:rPr>
          <w:rFonts w:hint="eastAsia" w:ascii="宋体" w:hAnsi="宋体" w:eastAsia="宋体" w:cs="宋体"/>
          <w:sz w:val="20"/>
          <w:szCs w:val="18"/>
          <w:lang w:val="en-US" w:eastAsia="zh-CN"/>
        </w:rPr>
      </w:pPr>
      <w:r>
        <w:rPr>
          <w:rFonts w:hint="eastAsia" w:ascii="宋体" w:hAnsi="宋体" w:eastAsia="宋体" w:cs="宋体"/>
          <w:sz w:val="20"/>
          <w:szCs w:val="18"/>
          <w:lang w:val="en-US" w:eastAsia="zh-CN"/>
        </w:rPr>
        <w:t>第四条  本办法所称高校毕业生是指上述学校2009年春季学期（含）后毕业的全日制本科专科生、研究生和第二学士学位的应届毕业生，在校期间已享受全部免除学费政策的学生除外。</w:t>
      </w:r>
    </w:p>
    <w:p w14:paraId="741679EF">
      <w:pPr>
        <w:pStyle w:val="6"/>
        <w:pageBreakBefore w:val="0"/>
        <w:wordWrap/>
        <w:overflowPunct/>
        <w:bidi w:val="0"/>
        <w:spacing w:line="240" w:lineRule="auto"/>
        <w:rPr>
          <w:rFonts w:hint="eastAsia" w:ascii="宋体" w:hAnsi="宋体" w:eastAsia="宋体" w:cs="宋体"/>
          <w:sz w:val="20"/>
          <w:szCs w:val="18"/>
          <w:lang w:val="en-US" w:eastAsia="zh-CN"/>
        </w:rPr>
      </w:pPr>
      <w:r>
        <w:rPr>
          <w:rFonts w:hint="eastAsia" w:ascii="宋体" w:hAnsi="宋体" w:eastAsia="宋体" w:cs="宋体"/>
          <w:sz w:val="20"/>
          <w:szCs w:val="18"/>
          <w:lang w:val="en-US" w:eastAsia="zh-CN"/>
        </w:rPr>
        <w:t>第五条  本办法所称艰苦边远地区是指《人事部、财政部关于完善艰苦边远地区津贴制度实施方案的通知》（国人部发〔2006〕61号）中规定的我省12个市州的77个县（市、区），具体是指：</w:t>
      </w:r>
    </w:p>
    <w:p w14:paraId="0DFD2974">
      <w:pPr>
        <w:pStyle w:val="6"/>
        <w:pageBreakBefore w:val="0"/>
        <w:wordWrap/>
        <w:overflowPunct/>
        <w:bidi w:val="0"/>
        <w:spacing w:line="240" w:lineRule="auto"/>
        <w:rPr>
          <w:rFonts w:hint="eastAsia" w:ascii="宋体" w:hAnsi="宋体" w:eastAsia="宋体" w:cs="宋体"/>
          <w:sz w:val="20"/>
          <w:szCs w:val="18"/>
          <w:lang w:val="en-US" w:eastAsia="zh-CN"/>
        </w:rPr>
      </w:pPr>
      <w:r>
        <w:rPr>
          <w:rFonts w:hint="eastAsia" w:ascii="宋体" w:hAnsi="宋体" w:eastAsia="宋体" w:cs="宋体"/>
          <w:sz w:val="20"/>
          <w:szCs w:val="18"/>
          <w:lang w:val="en-US" w:eastAsia="zh-CN"/>
        </w:rPr>
        <w:t>攀枝花市：东区、西区、仁和区；米易县、盐边县；</w:t>
      </w:r>
    </w:p>
    <w:p w14:paraId="5C56F11A">
      <w:pPr>
        <w:pStyle w:val="6"/>
        <w:pageBreakBefore w:val="0"/>
        <w:wordWrap/>
        <w:overflowPunct/>
        <w:bidi w:val="0"/>
        <w:spacing w:line="240" w:lineRule="auto"/>
        <w:rPr>
          <w:rFonts w:hint="eastAsia" w:ascii="宋体" w:hAnsi="宋体" w:eastAsia="宋体" w:cs="宋体"/>
          <w:sz w:val="20"/>
          <w:szCs w:val="18"/>
          <w:lang w:val="en-US" w:eastAsia="zh-CN"/>
        </w:rPr>
      </w:pPr>
      <w:r>
        <w:rPr>
          <w:rFonts w:hint="eastAsia" w:ascii="宋体" w:hAnsi="宋体" w:eastAsia="宋体" w:cs="宋体"/>
          <w:sz w:val="20"/>
          <w:szCs w:val="18"/>
          <w:lang w:val="en-US" w:eastAsia="zh-CN"/>
        </w:rPr>
        <w:t>绵阳市：平武县、北川县；</w:t>
      </w:r>
    </w:p>
    <w:p w14:paraId="66F5FF9D">
      <w:pPr>
        <w:pStyle w:val="6"/>
        <w:pageBreakBefore w:val="0"/>
        <w:wordWrap/>
        <w:overflowPunct/>
        <w:bidi w:val="0"/>
        <w:spacing w:line="240" w:lineRule="auto"/>
        <w:rPr>
          <w:rFonts w:hint="eastAsia" w:ascii="宋体" w:hAnsi="宋体" w:eastAsia="宋体" w:cs="宋体"/>
          <w:sz w:val="20"/>
          <w:szCs w:val="18"/>
          <w:lang w:val="en-US" w:eastAsia="zh-CN"/>
        </w:rPr>
      </w:pPr>
      <w:r>
        <w:rPr>
          <w:rFonts w:hint="eastAsia" w:ascii="宋体" w:hAnsi="宋体" w:eastAsia="宋体" w:cs="宋体"/>
          <w:sz w:val="20"/>
          <w:szCs w:val="18"/>
          <w:lang w:val="en-US" w:eastAsia="zh-CN"/>
        </w:rPr>
        <w:t>泸州市：叙永县、古蔺县；</w:t>
      </w:r>
    </w:p>
    <w:p w14:paraId="4076E5AD">
      <w:pPr>
        <w:pStyle w:val="6"/>
        <w:pageBreakBefore w:val="0"/>
        <w:wordWrap/>
        <w:overflowPunct/>
        <w:bidi w:val="0"/>
        <w:spacing w:line="240" w:lineRule="auto"/>
        <w:rPr>
          <w:rFonts w:hint="eastAsia" w:ascii="宋体" w:hAnsi="宋体" w:eastAsia="宋体" w:cs="宋体"/>
          <w:sz w:val="20"/>
          <w:szCs w:val="18"/>
          <w:lang w:val="en-US" w:eastAsia="zh-CN"/>
        </w:rPr>
      </w:pPr>
      <w:r>
        <w:rPr>
          <w:rFonts w:hint="eastAsia" w:ascii="宋体" w:hAnsi="宋体" w:eastAsia="宋体" w:cs="宋体"/>
          <w:sz w:val="20"/>
          <w:szCs w:val="18"/>
          <w:lang w:val="en-US" w:eastAsia="zh-CN"/>
        </w:rPr>
        <w:t>广元市：朝天区、旺苍县、青川县；</w:t>
      </w:r>
    </w:p>
    <w:p w14:paraId="0632A03B">
      <w:pPr>
        <w:pStyle w:val="6"/>
        <w:pageBreakBefore w:val="0"/>
        <w:wordWrap/>
        <w:overflowPunct/>
        <w:bidi w:val="0"/>
        <w:spacing w:line="240" w:lineRule="auto"/>
        <w:rPr>
          <w:rFonts w:hint="eastAsia" w:ascii="宋体" w:hAnsi="宋体" w:eastAsia="宋体" w:cs="宋体"/>
          <w:sz w:val="20"/>
          <w:szCs w:val="18"/>
          <w:lang w:val="en-US" w:eastAsia="zh-CN"/>
        </w:rPr>
      </w:pPr>
      <w:r>
        <w:rPr>
          <w:rFonts w:hint="eastAsia" w:ascii="宋体" w:hAnsi="宋体" w:eastAsia="宋体" w:cs="宋体"/>
          <w:sz w:val="20"/>
          <w:szCs w:val="18"/>
          <w:lang w:val="en-US" w:eastAsia="zh-CN"/>
        </w:rPr>
        <w:t>乐山市：金口河区、峨边县、马边县；</w:t>
      </w:r>
    </w:p>
    <w:p w14:paraId="728EA39C">
      <w:pPr>
        <w:pStyle w:val="6"/>
        <w:pageBreakBefore w:val="0"/>
        <w:wordWrap/>
        <w:overflowPunct/>
        <w:bidi w:val="0"/>
        <w:spacing w:line="240" w:lineRule="auto"/>
        <w:rPr>
          <w:rFonts w:hint="eastAsia" w:ascii="宋体" w:hAnsi="宋体" w:eastAsia="宋体" w:cs="宋体"/>
          <w:sz w:val="20"/>
          <w:szCs w:val="18"/>
          <w:lang w:val="en-US" w:eastAsia="zh-CN"/>
        </w:rPr>
      </w:pPr>
      <w:r>
        <w:rPr>
          <w:rFonts w:hint="eastAsia" w:ascii="宋体" w:hAnsi="宋体" w:eastAsia="宋体" w:cs="宋体"/>
          <w:sz w:val="20"/>
          <w:szCs w:val="18"/>
          <w:lang w:val="en-US" w:eastAsia="zh-CN"/>
        </w:rPr>
        <w:t>宜宾市：筠连县、珙县、兴文县、屏山县；</w:t>
      </w:r>
    </w:p>
    <w:p w14:paraId="65A65F44">
      <w:pPr>
        <w:pStyle w:val="6"/>
        <w:pageBreakBefore w:val="0"/>
        <w:wordWrap/>
        <w:overflowPunct/>
        <w:bidi w:val="0"/>
        <w:spacing w:line="240" w:lineRule="auto"/>
        <w:rPr>
          <w:rFonts w:hint="eastAsia" w:ascii="宋体" w:hAnsi="宋体" w:eastAsia="宋体" w:cs="宋体"/>
          <w:sz w:val="20"/>
          <w:szCs w:val="18"/>
          <w:lang w:val="en-US" w:eastAsia="zh-CN"/>
        </w:rPr>
      </w:pPr>
      <w:r>
        <w:rPr>
          <w:rFonts w:hint="eastAsia" w:ascii="宋体" w:hAnsi="宋体" w:eastAsia="宋体" w:cs="宋体"/>
          <w:sz w:val="20"/>
          <w:szCs w:val="18"/>
          <w:lang w:val="en-US" w:eastAsia="zh-CN"/>
        </w:rPr>
        <w:t>巴中市：通江县、南江县；</w:t>
      </w:r>
    </w:p>
    <w:p w14:paraId="366713D9">
      <w:pPr>
        <w:pStyle w:val="6"/>
        <w:pageBreakBefore w:val="0"/>
        <w:wordWrap/>
        <w:overflowPunct/>
        <w:bidi w:val="0"/>
        <w:spacing w:line="240" w:lineRule="auto"/>
        <w:rPr>
          <w:rFonts w:hint="eastAsia" w:ascii="宋体" w:hAnsi="宋体" w:eastAsia="宋体" w:cs="宋体"/>
          <w:sz w:val="20"/>
          <w:szCs w:val="18"/>
          <w:lang w:val="en-US" w:eastAsia="zh-CN"/>
        </w:rPr>
      </w:pPr>
      <w:r>
        <w:rPr>
          <w:rFonts w:hint="eastAsia" w:ascii="宋体" w:hAnsi="宋体" w:eastAsia="宋体" w:cs="宋体"/>
          <w:sz w:val="20"/>
          <w:szCs w:val="18"/>
          <w:lang w:val="en-US" w:eastAsia="zh-CN"/>
        </w:rPr>
        <w:t>达州市：万源市、宣汉县；</w:t>
      </w:r>
    </w:p>
    <w:p w14:paraId="727C530D">
      <w:pPr>
        <w:pStyle w:val="6"/>
        <w:pageBreakBefore w:val="0"/>
        <w:wordWrap/>
        <w:overflowPunct/>
        <w:bidi w:val="0"/>
        <w:spacing w:line="240" w:lineRule="auto"/>
        <w:rPr>
          <w:rFonts w:hint="eastAsia" w:ascii="宋体" w:hAnsi="宋体" w:eastAsia="宋体" w:cs="宋体"/>
          <w:sz w:val="20"/>
          <w:szCs w:val="18"/>
          <w:lang w:val="en-US" w:eastAsia="zh-CN"/>
        </w:rPr>
      </w:pPr>
      <w:r>
        <w:rPr>
          <w:rFonts w:hint="eastAsia" w:ascii="宋体" w:hAnsi="宋体" w:eastAsia="宋体" w:cs="宋体"/>
          <w:sz w:val="20"/>
          <w:szCs w:val="18"/>
          <w:lang w:val="en-US" w:eastAsia="zh-CN"/>
        </w:rPr>
        <w:t>雅安市：荥经县、石棉县、天全县、汉源县、芦山县、宝兴县；</w:t>
      </w:r>
    </w:p>
    <w:p w14:paraId="75781C7D">
      <w:pPr>
        <w:pStyle w:val="6"/>
        <w:pageBreakBefore w:val="0"/>
        <w:wordWrap/>
        <w:overflowPunct/>
        <w:bidi w:val="0"/>
        <w:spacing w:line="240" w:lineRule="auto"/>
        <w:rPr>
          <w:rFonts w:hint="eastAsia" w:ascii="宋体" w:hAnsi="宋体" w:eastAsia="宋体" w:cs="宋体"/>
          <w:sz w:val="20"/>
          <w:szCs w:val="18"/>
          <w:lang w:val="en-US" w:eastAsia="zh-CN"/>
        </w:rPr>
      </w:pPr>
      <w:r>
        <w:rPr>
          <w:rFonts w:hint="eastAsia" w:ascii="宋体" w:hAnsi="宋体" w:eastAsia="宋体" w:cs="宋体"/>
          <w:sz w:val="20"/>
          <w:szCs w:val="18"/>
          <w:lang w:val="en-US" w:eastAsia="zh-CN"/>
        </w:rPr>
        <w:t>凉山州：西昌市、德昌县、会理县、会东县、宁南县、普格县、喜德县、冕宁县、越西县、盐源县、甘洛县、雷波县、布拖县、金阳县、昭觉县、美姑县、木里县；</w:t>
      </w:r>
    </w:p>
    <w:p w14:paraId="45F5EF7B">
      <w:pPr>
        <w:pStyle w:val="6"/>
        <w:pageBreakBefore w:val="0"/>
        <w:wordWrap/>
        <w:overflowPunct/>
        <w:bidi w:val="0"/>
        <w:spacing w:line="240" w:lineRule="auto"/>
        <w:rPr>
          <w:rFonts w:hint="eastAsia" w:ascii="宋体" w:hAnsi="宋体" w:eastAsia="宋体" w:cs="宋体"/>
          <w:sz w:val="20"/>
          <w:szCs w:val="18"/>
          <w:lang w:val="en-US" w:eastAsia="zh-CN"/>
        </w:rPr>
      </w:pPr>
      <w:r>
        <w:rPr>
          <w:rFonts w:hint="eastAsia" w:ascii="宋体" w:hAnsi="宋体" w:eastAsia="宋体" w:cs="宋体"/>
          <w:sz w:val="20"/>
          <w:szCs w:val="18"/>
          <w:lang w:val="en-US" w:eastAsia="zh-CN"/>
        </w:rPr>
        <w:t>阿坝州：汶川县、理县、茂县、九寨沟县、马儿康县、松潘县、金川县、小金县、黑水县、壤塘县、阿坝县、若尔盖县、红原县；</w:t>
      </w:r>
    </w:p>
    <w:p w14:paraId="786BAB8F">
      <w:pPr>
        <w:pStyle w:val="6"/>
        <w:pageBreakBefore w:val="0"/>
        <w:wordWrap/>
        <w:overflowPunct/>
        <w:bidi w:val="0"/>
        <w:spacing w:line="240" w:lineRule="auto"/>
        <w:rPr>
          <w:rFonts w:hint="eastAsia" w:ascii="宋体" w:hAnsi="宋体" w:eastAsia="宋体" w:cs="宋体"/>
          <w:sz w:val="20"/>
          <w:szCs w:val="18"/>
          <w:lang w:val="en-US" w:eastAsia="zh-CN"/>
        </w:rPr>
      </w:pPr>
      <w:r>
        <w:rPr>
          <w:rFonts w:hint="eastAsia" w:ascii="宋体" w:hAnsi="宋体" w:eastAsia="宋体" w:cs="宋体"/>
          <w:sz w:val="20"/>
          <w:szCs w:val="18"/>
          <w:lang w:val="en-US" w:eastAsia="zh-CN"/>
        </w:rPr>
        <w:t>甘孜州：泸定县、康定县、丹巴县、九龙县、道孚县、炉霍县、新龙县、德格县、白玉县、巴塘县、乡城县、雅江县、甘孜县、稻城县、得荣县、石渠县、色达县、理塘县。</w:t>
      </w:r>
    </w:p>
    <w:p w14:paraId="40F6CE59">
      <w:pPr>
        <w:pStyle w:val="6"/>
        <w:pageBreakBefore w:val="0"/>
        <w:wordWrap/>
        <w:overflowPunct/>
        <w:bidi w:val="0"/>
        <w:spacing w:line="240" w:lineRule="auto"/>
        <w:rPr>
          <w:rFonts w:hint="eastAsia" w:ascii="宋体" w:hAnsi="宋体" w:eastAsia="宋体" w:cs="宋体"/>
          <w:sz w:val="20"/>
          <w:szCs w:val="18"/>
          <w:lang w:val="en-US" w:eastAsia="zh-CN"/>
        </w:rPr>
      </w:pPr>
      <w:r>
        <w:rPr>
          <w:rFonts w:hint="eastAsia" w:ascii="宋体" w:hAnsi="宋体" w:eastAsia="宋体" w:cs="宋体"/>
          <w:sz w:val="20"/>
          <w:szCs w:val="18"/>
          <w:lang w:val="en-US" w:eastAsia="zh-CN"/>
        </w:rPr>
        <w:t>第六条  本办法所称基层单位是指上述区域内县以下（不含县本级、城关镇）机关和国有企事业单位。但不包括金融、烟酒、通讯、电力生产运输销售等行业。符合条件的特岗教师、“一村一大”、“三支一扶”、“大学生志愿服务西部”志愿者可纳入奖补范围。在符合国家政策规定的艰苦边远地区基层单位范围内正常调动（含借用、借调），连续不间断服务满三年的毕业生应纳入奖补范围。</w:t>
      </w:r>
    </w:p>
    <w:p w14:paraId="26F8A23F">
      <w:pPr>
        <w:pStyle w:val="6"/>
        <w:pageBreakBefore w:val="0"/>
        <w:wordWrap/>
        <w:overflowPunct/>
        <w:bidi w:val="0"/>
        <w:spacing w:line="240" w:lineRule="auto"/>
        <w:rPr>
          <w:rFonts w:hint="eastAsia" w:ascii="宋体" w:hAnsi="宋体" w:eastAsia="宋体" w:cs="宋体"/>
          <w:sz w:val="20"/>
          <w:szCs w:val="18"/>
          <w:lang w:val="en-US" w:eastAsia="zh-CN"/>
        </w:rPr>
      </w:pPr>
      <w:r>
        <w:rPr>
          <w:rFonts w:hint="eastAsia" w:ascii="宋体" w:hAnsi="宋体" w:eastAsia="宋体" w:cs="宋体"/>
          <w:sz w:val="20"/>
          <w:szCs w:val="18"/>
          <w:lang w:val="en-US" w:eastAsia="zh-CN"/>
        </w:rPr>
        <w:t>第七条  本办法所称连续服务是指毕业生首次就业单位为上述边远艰苦地区基层单位，并连续不间断服务满三年（按对年对月对日计算）的情形。</w:t>
      </w:r>
    </w:p>
    <w:p w14:paraId="1E6BBCE3">
      <w:pPr>
        <w:pStyle w:val="6"/>
        <w:pageBreakBefore w:val="0"/>
        <w:wordWrap/>
        <w:overflowPunct/>
        <w:bidi w:val="0"/>
        <w:spacing w:line="240" w:lineRule="auto"/>
        <w:rPr>
          <w:rFonts w:hint="eastAsia" w:ascii="宋体" w:hAnsi="宋体" w:eastAsia="宋体" w:cs="宋体"/>
          <w:sz w:val="20"/>
          <w:szCs w:val="18"/>
          <w:lang w:val="en-US" w:eastAsia="zh-CN"/>
        </w:rPr>
      </w:pPr>
      <w:r>
        <w:rPr>
          <w:rFonts w:hint="eastAsia" w:ascii="宋体" w:hAnsi="宋体" w:eastAsia="宋体" w:cs="宋体"/>
          <w:sz w:val="20"/>
          <w:szCs w:val="18"/>
          <w:lang w:val="en-US" w:eastAsia="zh-CN"/>
        </w:rPr>
        <w:t>第八条  政府学费奖补按毕业生在校期间实际交纳的学费计算（享受了部分减免学费的应予扣除），但最高不超过6000元/学年。奖补年限以毕业生最后学历实际学制年限为准，即专升本、本硕连读、中职高职连读、第二学士学位毕业生，分别按照完成本科、硕士、高职和第二学士学位阶段学习任务的实际年限计算。已享受应征入伍服兵役国家资助和退役士兵教育资助的毕业生，不再享受本资助政策。</w:t>
      </w:r>
    </w:p>
    <w:p w14:paraId="3EDEB05E">
      <w:pPr>
        <w:pStyle w:val="6"/>
        <w:pageBreakBefore w:val="0"/>
        <w:wordWrap/>
        <w:overflowPunct/>
        <w:bidi w:val="0"/>
        <w:spacing w:line="240" w:lineRule="auto"/>
        <w:rPr>
          <w:rFonts w:hint="eastAsia" w:ascii="宋体" w:hAnsi="宋体" w:eastAsia="宋体" w:cs="宋体"/>
          <w:sz w:val="20"/>
          <w:szCs w:val="18"/>
          <w:lang w:val="en-US" w:eastAsia="zh-CN"/>
        </w:rPr>
      </w:pPr>
      <w:r>
        <w:rPr>
          <w:rFonts w:hint="eastAsia" w:ascii="宋体" w:hAnsi="宋体" w:eastAsia="宋体" w:cs="宋体"/>
          <w:sz w:val="20"/>
          <w:szCs w:val="18"/>
          <w:lang w:val="en-US" w:eastAsia="zh-CN"/>
        </w:rPr>
        <w:t>第九条  政府学费奖补款在毕业生连续服务满三年后，按本办法规定的程序进行申请和审批，一次发给毕业生。毕业生在校期间获得助学贷款（指农业银行、国家开发银行和农村信用社发放的高校国家助学贷款和生源地信用助学贷款，下同）尚未完全归还的，优先偿还贷款余额，结余部分发给毕业生；当奖补款小于贷款余额时，全部用于偿还贷款。</w:t>
      </w:r>
    </w:p>
    <w:p w14:paraId="5E4742E8">
      <w:pPr>
        <w:pStyle w:val="6"/>
        <w:pageBreakBefore w:val="0"/>
        <w:wordWrap/>
        <w:overflowPunct/>
        <w:bidi w:val="0"/>
        <w:spacing w:line="240" w:lineRule="auto"/>
        <w:rPr>
          <w:rFonts w:hint="eastAsia" w:ascii="宋体" w:hAnsi="宋体" w:eastAsia="宋体" w:cs="宋体"/>
          <w:sz w:val="20"/>
          <w:szCs w:val="18"/>
          <w:lang w:val="en-US" w:eastAsia="zh-CN"/>
        </w:rPr>
      </w:pPr>
      <w:r>
        <w:rPr>
          <w:rFonts w:hint="eastAsia" w:ascii="宋体" w:hAnsi="宋体" w:eastAsia="宋体" w:cs="宋体"/>
          <w:sz w:val="20"/>
          <w:szCs w:val="18"/>
          <w:lang w:val="en-US" w:eastAsia="zh-CN"/>
        </w:rPr>
        <w:t>第十条  学费奖补实行网络申请、网络审核的形式，具体程序如下：</w:t>
      </w:r>
    </w:p>
    <w:p w14:paraId="7145637A">
      <w:pPr>
        <w:pStyle w:val="6"/>
        <w:pageBreakBefore w:val="0"/>
        <w:wordWrap/>
        <w:overflowPunct/>
        <w:bidi w:val="0"/>
        <w:spacing w:line="240" w:lineRule="auto"/>
        <w:rPr>
          <w:rFonts w:hint="eastAsia" w:ascii="宋体" w:hAnsi="宋体" w:eastAsia="宋体" w:cs="宋体"/>
          <w:sz w:val="20"/>
          <w:szCs w:val="18"/>
          <w:lang w:val="en-US" w:eastAsia="zh-CN"/>
        </w:rPr>
      </w:pPr>
      <w:r>
        <w:rPr>
          <w:rFonts w:hint="eastAsia" w:ascii="宋体" w:hAnsi="宋体" w:eastAsia="宋体" w:cs="宋体"/>
          <w:sz w:val="20"/>
          <w:szCs w:val="18"/>
          <w:lang w:val="en-US" w:eastAsia="zh-CN"/>
        </w:rPr>
        <w:t>（一）毕业生申请。申请者登录四川学生资助网（www.scxszz.cn），进入“基层就业学费奖补”系统，进行在线申请。申请者应如实、准确填报个人身份、就业单位、学历学制、学费缴纳、国家助学贷款等信息。</w:t>
      </w:r>
    </w:p>
    <w:p w14:paraId="7BD83170">
      <w:pPr>
        <w:pStyle w:val="6"/>
        <w:pageBreakBefore w:val="0"/>
        <w:wordWrap/>
        <w:overflowPunct/>
        <w:bidi w:val="0"/>
        <w:spacing w:line="240" w:lineRule="auto"/>
        <w:rPr>
          <w:rFonts w:hint="eastAsia" w:ascii="宋体" w:hAnsi="宋体" w:eastAsia="宋体" w:cs="宋体"/>
          <w:sz w:val="20"/>
          <w:szCs w:val="18"/>
          <w:lang w:val="en-US" w:eastAsia="zh-CN"/>
        </w:rPr>
      </w:pPr>
      <w:r>
        <w:rPr>
          <w:rFonts w:hint="eastAsia" w:ascii="宋体" w:hAnsi="宋体" w:eastAsia="宋体" w:cs="宋体"/>
          <w:sz w:val="20"/>
          <w:szCs w:val="18"/>
          <w:lang w:val="en-US" w:eastAsia="zh-CN"/>
        </w:rPr>
        <w:t>（二）就业单位审核。毕业生就业单位应在《单位证明意见》上如实出具意见并加盖单位公章，如正常调动两个及以上就业单位的，各就业单位均须出具在本单位的就业时间、岗位信息及年度考核等次。若申请人年度考核有基本称职或不称职的，不得申请。</w:t>
      </w:r>
    </w:p>
    <w:p w14:paraId="4099D191">
      <w:pPr>
        <w:pStyle w:val="6"/>
        <w:pageBreakBefore w:val="0"/>
        <w:wordWrap/>
        <w:overflowPunct/>
        <w:bidi w:val="0"/>
        <w:spacing w:line="240" w:lineRule="auto"/>
        <w:rPr>
          <w:rFonts w:hint="eastAsia" w:ascii="宋体" w:hAnsi="宋体" w:eastAsia="宋体" w:cs="宋体"/>
          <w:sz w:val="20"/>
          <w:szCs w:val="18"/>
          <w:lang w:val="en-US" w:eastAsia="zh-CN"/>
        </w:rPr>
      </w:pPr>
      <w:r>
        <w:rPr>
          <w:rFonts w:hint="eastAsia" w:ascii="宋体" w:hAnsi="宋体" w:eastAsia="宋体" w:cs="宋体"/>
          <w:sz w:val="20"/>
          <w:szCs w:val="18"/>
          <w:lang w:val="en-US" w:eastAsia="zh-CN"/>
        </w:rPr>
        <w:t>（三）县（市、区）、市（州）教育局审核公示，应在本级教育网站上进行不少于5个工作日的公示。公示无异议后，逐级提交复审。</w:t>
      </w:r>
    </w:p>
    <w:p w14:paraId="60B6F425">
      <w:pPr>
        <w:pStyle w:val="6"/>
        <w:pageBreakBefore w:val="0"/>
        <w:wordWrap/>
        <w:overflowPunct/>
        <w:bidi w:val="0"/>
        <w:spacing w:line="240" w:lineRule="auto"/>
        <w:rPr>
          <w:rFonts w:hint="eastAsia" w:ascii="宋体" w:hAnsi="宋体" w:eastAsia="宋体" w:cs="宋体"/>
          <w:sz w:val="20"/>
          <w:szCs w:val="18"/>
          <w:lang w:val="en-US" w:eastAsia="zh-CN"/>
        </w:rPr>
      </w:pPr>
      <w:r>
        <w:rPr>
          <w:rFonts w:hint="eastAsia" w:ascii="宋体" w:hAnsi="宋体" w:eastAsia="宋体" w:cs="宋体"/>
          <w:sz w:val="20"/>
          <w:szCs w:val="18"/>
          <w:lang w:val="en-US" w:eastAsia="zh-CN"/>
        </w:rPr>
        <w:t>（四）高校审核。有关高校对申请人的学籍信息（毕业时间、学习年限、是否全日制普通高等教育等）、学费交纳等情况进行审核。</w:t>
      </w:r>
    </w:p>
    <w:p w14:paraId="1B8AEAAE">
      <w:pPr>
        <w:pStyle w:val="6"/>
        <w:pageBreakBefore w:val="0"/>
        <w:wordWrap/>
        <w:overflowPunct/>
        <w:bidi w:val="0"/>
        <w:spacing w:line="240" w:lineRule="auto"/>
        <w:rPr>
          <w:rFonts w:hint="eastAsia" w:ascii="宋体" w:hAnsi="宋体" w:eastAsia="宋体" w:cs="宋体"/>
          <w:sz w:val="20"/>
          <w:szCs w:val="18"/>
          <w:lang w:val="en-US" w:eastAsia="zh-CN"/>
        </w:rPr>
      </w:pPr>
      <w:r>
        <w:rPr>
          <w:rFonts w:hint="eastAsia" w:ascii="宋体" w:hAnsi="宋体" w:eastAsia="宋体" w:cs="宋体"/>
          <w:sz w:val="20"/>
          <w:szCs w:val="18"/>
          <w:lang w:val="en-US" w:eastAsia="zh-CN"/>
        </w:rPr>
        <w:t>（五）省学生资助管理中心审核汇总各地各校审核信息，报教育厅、财政厅审核结算。</w:t>
      </w:r>
    </w:p>
    <w:p w14:paraId="353FD09E">
      <w:pPr>
        <w:pStyle w:val="6"/>
        <w:pageBreakBefore w:val="0"/>
        <w:wordWrap/>
        <w:overflowPunct/>
        <w:bidi w:val="0"/>
        <w:spacing w:line="240" w:lineRule="auto"/>
        <w:rPr>
          <w:rFonts w:hint="eastAsia" w:ascii="宋体" w:hAnsi="宋体" w:eastAsia="宋体" w:cs="宋体"/>
          <w:sz w:val="20"/>
          <w:szCs w:val="18"/>
          <w:lang w:val="en-US" w:eastAsia="zh-CN"/>
        </w:rPr>
      </w:pPr>
    </w:p>
    <w:p w14:paraId="15F8EB75"/>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方正小标宋_GBK">
    <w:panose1 w:val="03000509000000000000"/>
    <w:charset w:val="86"/>
    <w:family w:val="script"/>
    <w:pitch w:val="default"/>
    <w:sig w:usb0="00000001" w:usb1="080E0000" w:usb2="00000000" w:usb3="00000000" w:csb0="0004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GUyN2NhNWZhNTA4OWI1YzYyN2I0YWZiMDYzYWZmZTUifQ=="/>
  </w:docVars>
  <w:rsids>
    <w:rsidRoot w:val="72B55283"/>
    <w:rsid w:val="72B5528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2"/>
    <w:basedOn w:val="1"/>
    <w:next w:val="1"/>
    <w:qFormat/>
    <w:uiPriority w:val="0"/>
    <w:pPr>
      <w:keepNext/>
      <w:keepLines/>
      <w:spacing w:before="260" w:after="260" w:line="416" w:lineRule="auto"/>
      <w:outlineLvl w:val="1"/>
    </w:pPr>
    <w:rPr>
      <w:rFonts w:ascii="Arial" w:hAnsi="Arial" w:eastAsia="黑体"/>
      <w:b/>
      <w:bCs/>
      <w:sz w:val="32"/>
      <w:szCs w:val="32"/>
    </w:rPr>
  </w:style>
  <w:style w:type="character" w:default="1" w:styleId="4">
    <w:name w:val="Default Paragraph Font"/>
    <w:semiHidden/>
    <w:uiPriority w:val="0"/>
  </w:style>
  <w:style w:type="table" w:default="1" w:styleId="3">
    <w:name w:val="Normal Table"/>
    <w:semiHidden/>
    <w:uiPriority w:val="0"/>
    <w:tblPr>
      <w:tblCellMar>
        <w:top w:w="0" w:type="dxa"/>
        <w:left w:w="108" w:type="dxa"/>
        <w:bottom w:w="0" w:type="dxa"/>
        <w:right w:w="108" w:type="dxa"/>
      </w:tblCellMar>
    </w:tblPr>
  </w:style>
  <w:style w:type="paragraph" w:customStyle="1" w:styleId="5">
    <w:name w:val="样式 标题 2 + 宋体 四号 黑色"/>
    <w:basedOn w:val="2"/>
    <w:uiPriority w:val="0"/>
    <w:pPr>
      <w:spacing w:before="0" w:after="0" w:line="240" w:lineRule="auto"/>
      <w:jc w:val="center"/>
    </w:pPr>
    <w:rPr>
      <w:rFonts w:ascii="宋体" w:hAnsi="宋体" w:eastAsia="方正小标宋_GBK"/>
      <w:b w:val="0"/>
      <w:color w:val="000000"/>
      <w:sz w:val="30"/>
    </w:rPr>
  </w:style>
  <w:style w:type="paragraph" w:customStyle="1" w:styleId="6">
    <w:name w:val="样式 样式 样式 样式 (符号) 宋体 小四 左 行距: 固定值 20 磅 + 首行缩进:  2 字符 + 首行缩进:  2 字...3"/>
    <w:basedOn w:val="7"/>
    <w:qFormat/>
    <w:uiPriority w:val="0"/>
    <w:pPr>
      <w:spacing w:line="350" w:lineRule="exact"/>
      <w:ind w:firstLine="420"/>
    </w:pPr>
  </w:style>
  <w:style w:type="paragraph" w:customStyle="1" w:styleId="7">
    <w:name w:val="样式 样式 样式 (符号) 宋体 小四 左 行距: 固定值 20 磅 + 首行缩进:  2 字符 + 首行缩进:  2 字符"/>
    <w:basedOn w:val="1"/>
    <w:qFormat/>
    <w:uiPriority w:val="0"/>
    <w:pPr>
      <w:ind w:firstLine="200" w:firstLineChars="200"/>
    </w:pPr>
    <w:rPr>
      <w:rFonts w:hAnsi="宋体" w:cs="宋体"/>
      <w:szCs w:val="20"/>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2</Pages>
  <Words>0</Words>
  <Characters>0</Characters>
  <Lines>0</Lines>
  <Paragraphs>0</Paragraphs>
  <TotalTime>0</TotalTime>
  <ScaleCrop>false</ScaleCrop>
  <LinksUpToDate>false</LinksUpToDate>
  <CharactersWithSpaces>0</CharactersWithSpaces>
  <Application>WPS Office_12.1.0.18608_F1E327BC-269C-435d-A152-05C5408002CA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2024-11-08T09:26:00Z</dcterms:created>
  <dc:creator>宋洋洋</dc:creator>
  <cp:lastModifiedBy>宋洋洋</cp:lastModifiedBy>
  <dcterms:modified xsi:type="dcterms:W3CDTF">2024-11-08T09:27:00Z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2052-12.1.0.18608</vt:lpwstr>
  </property>
  <property fmtid="{D5CDD505-2E9C-101B-9397-08002B2CF9AE}" pid="3" name="ICV">
    <vt:lpwstr>2B42DEE457AE4AD2A9B17719EA452EF2_11</vt:lpwstr>
  </property>
</Properties>
</file>